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C6E3E" w14:textId="24EA7017" w:rsidR="00AC69E1" w:rsidRDefault="00AC69E1" w:rsidP="00D75392">
      <w:pPr>
        <w:jc w:val="right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t>Warszawa, 0</w:t>
      </w:r>
      <w:r w:rsidR="004A4F55">
        <w:rPr>
          <w:rFonts w:ascii="Poppins" w:hAnsi="Poppins" w:cs="Poppins"/>
          <w:b/>
          <w:bCs/>
          <w:sz w:val="20"/>
          <w:szCs w:val="20"/>
        </w:rPr>
        <w:t>2</w:t>
      </w:r>
      <w:r>
        <w:rPr>
          <w:rFonts w:ascii="Poppins" w:hAnsi="Poppins" w:cs="Poppins"/>
          <w:b/>
          <w:bCs/>
          <w:sz w:val="20"/>
          <w:szCs w:val="20"/>
        </w:rPr>
        <w:t>.</w:t>
      </w:r>
      <w:r w:rsidR="002D244C">
        <w:rPr>
          <w:rFonts w:ascii="Poppins" w:hAnsi="Poppins" w:cs="Poppins"/>
          <w:b/>
          <w:bCs/>
          <w:sz w:val="20"/>
          <w:szCs w:val="20"/>
        </w:rPr>
        <w:t>0</w:t>
      </w:r>
      <w:r w:rsidR="00BA0C8F">
        <w:rPr>
          <w:rFonts w:ascii="Poppins" w:hAnsi="Poppins" w:cs="Poppins"/>
          <w:b/>
          <w:bCs/>
          <w:sz w:val="20"/>
          <w:szCs w:val="20"/>
        </w:rPr>
        <w:t>2</w:t>
      </w:r>
      <w:r>
        <w:rPr>
          <w:rFonts w:ascii="Poppins" w:hAnsi="Poppins" w:cs="Poppins"/>
          <w:b/>
          <w:bCs/>
          <w:sz w:val="20"/>
          <w:szCs w:val="20"/>
        </w:rPr>
        <w:t>.202</w:t>
      </w:r>
      <w:r w:rsidR="002D244C">
        <w:rPr>
          <w:rFonts w:ascii="Poppins" w:hAnsi="Poppins" w:cs="Poppins"/>
          <w:b/>
          <w:bCs/>
          <w:sz w:val="20"/>
          <w:szCs w:val="20"/>
        </w:rPr>
        <w:t>4</w:t>
      </w:r>
      <w:r>
        <w:rPr>
          <w:rFonts w:ascii="Poppins" w:hAnsi="Poppins" w:cs="Poppins"/>
          <w:b/>
          <w:bCs/>
          <w:sz w:val="20"/>
          <w:szCs w:val="20"/>
        </w:rPr>
        <w:t xml:space="preserve"> r.</w:t>
      </w:r>
    </w:p>
    <w:p w14:paraId="427E1844" w14:textId="105A0EF2" w:rsidR="00AC69E1" w:rsidRDefault="00AC69E1" w:rsidP="00D75392">
      <w:pPr>
        <w:jc w:val="both"/>
        <w:rPr>
          <w:rFonts w:ascii="Poppins" w:hAnsi="Poppins" w:cs="Poppins"/>
          <w:b/>
          <w:bCs/>
          <w:sz w:val="20"/>
          <w:szCs w:val="20"/>
        </w:rPr>
      </w:pPr>
      <w:r w:rsidRPr="00765947">
        <w:rPr>
          <w:rFonts w:ascii="Poppins" w:hAnsi="Poppins" w:cs="Poppins"/>
          <w:b/>
          <w:bCs/>
          <w:sz w:val="20"/>
          <w:szCs w:val="20"/>
        </w:rPr>
        <w:t>Autor: Marek Wielgo, ekspert portali RynekPierwotny.pl</w:t>
      </w:r>
      <w:r w:rsidR="00574F98">
        <w:rPr>
          <w:rFonts w:ascii="Poppins" w:hAnsi="Poppins" w:cs="Poppins"/>
          <w:b/>
          <w:bCs/>
          <w:sz w:val="20"/>
          <w:szCs w:val="20"/>
        </w:rPr>
        <w:t xml:space="preserve"> i GetHome.pl</w:t>
      </w:r>
    </w:p>
    <w:p w14:paraId="017D589B" w14:textId="515A9F8F" w:rsidR="004647DF" w:rsidRDefault="004647DF" w:rsidP="00287586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</w:pPr>
      <w:r w:rsidRPr="004647DF"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  <w:t xml:space="preserve">Ceny ofertowe nowych mieszkań – </w:t>
      </w:r>
      <w:r w:rsidR="00BA0C8F"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  <w:t>styczeń</w:t>
      </w:r>
      <w:r w:rsidR="002D244C"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  <w:t xml:space="preserve"> </w:t>
      </w:r>
      <w:r w:rsidRPr="004647DF"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  <w:t>202</w:t>
      </w:r>
      <w:r w:rsidR="00BA0C8F"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  <w:t>4</w:t>
      </w:r>
      <w:r w:rsidRPr="004647DF">
        <w:rPr>
          <w:rFonts w:ascii="Poppins" w:eastAsia="Times New Roman" w:hAnsi="Poppins" w:cs="Poppins"/>
          <w:b/>
          <w:bCs/>
          <w:color w:val="23232D"/>
          <w:kern w:val="36"/>
          <w:sz w:val="40"/>
          <w:szCs w:val="40"/>
          <w:lang w:eastAsia="pl-PL"/>
        </w:rPr>
        <w:t xml:space="preserve"> (wstępne dane)</w:t>
      </w:r>
    </w:p>
    <w:p w14:paraId="74E4B5B0" w14:textId="77777777" w:rsidR="00BA0C8F" w:rsidRDefault="00BA0C8F" w:rsidP="00574F9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oppins" w:eastAsia="Times New Roman" w:hAnsi="Poppins" w:cs="Poppins"/>
          <w:b/>
          <w:bCs/>
          <w:color w:val="23232D"/>
          <w:lang w:eastAsia="pl-PL"/>
        </w:rPr>
      </w:pPr>
      <w:r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Końcówka 2023 r. dawała nadzieję na stabilizację </w:t>
      </w:r>
      <w:r w:rsidR="004647DF" w:rsidRPr="004647DF">
        <w:rPr>
          <w:rFonts w:ascii="Poppins" w:eastAsia="Times New Roman" w:hAnsi="Poppins" w:cs="Poppins"/>
          <w:b/>
          <w:bCs/>
          <w:color w:val="23232D"/>
          <w:lang w:eastAsia="pl-PL"/>
        </w:rPr>
        <w:t>średni</w:t>
      </w:r>
      <w:r w:rsidR="0051474C">
        <w:rPr>
          <w:rFonts w:ascii="Poppins" w:eastAsia="Times New Roman" w:hAnsi="Poppins" w:cs="Poppins"/>
          <w:b/>
          <w:bCs/>
          <w:color w:val="23232D"/>
          <w:lang w:eastAsia="pl-PL"/>
        </w:rPr>
        <w:t>ej</w:t>
      </w:r>
      <w:r w:rsidR="004647DF" w:rsidRPr="004647DF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 cen</w:t>
      </w:r>
      <w:r w:rsidR="0051474C">
        <w:rPr>
          <w:rFonts w:ascii="Poppins" w:eastAsia="Times New Roman" w:hAnsi="Poppins" w:cs="Poppins"/>
          <w:b/>
          <w:bCs/>
          <w:color w:val="23232D"/>
          <w:lang w:eastAsia="pl-PL"/>
        </w:rPr>
        <w:t>y</w:t>
      </w:r>
      <w:r w:rsidR="004647DF" w:rsidRPr="004647DF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 metra kwadratowego </w:t>
      </w:r>
      <w:r w:rsidR="0051474C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nowych mieszkań </w:t>
      </w:r>
      <w:r>
        <w:rPr>
          <w:rFonts w:ascii="Poppins" w:eastAsia="Times New Roman" w:hAnsi="Poppins" w:cs="Poppins"/>
          <w:b/>
          <w:bCs/>
          <w:color w:val="23232D"/>
          <w:lang w:eastAsia="pl-PL"/>
        </w:rPr>
        <w:t>na rynkach mieszkaniowych największych miast</w:t>
      </w:r>
      <w:r w:rsidR="0051474C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. </w:t>
      </w:r>
      <w:r>
        <w:rPr>
          <w:rFonts w:ascii="Poppins" w:eastAsia="Times New Roman" w:hAnsi="Poppins" w:cs="Poppins"/>
          <w:b/>
          <w:bCs/>
          <w:color w:val="23232D"/>
          <w:lang w:eastAsia="pl-PL"/>
        </w:rPr>
        <w:t>Styczeń 2024 r. pokazał jednak, że w niektórych tempo wzrostu cen nie zwalnia</w:t>
      </w:r>
      <w:r w:rsidR="0051474C"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 </w:t>
      </w:r>
      <w:r w:rsidR="004647DF" w:rsidRPr="004647DF">
        <w:rPr>
          <w:rFonts w:ascii="Poppins" w:eastAsia="Times New Roman" w:hAnsi="Poppins" w:cs="Poppins"/>
          <w:b/>
          <w:bCs/>
          <w:color w:val="23232D"/>
          <w:lang w:eastAsia="pl-PL"/>
        </w:rPr>
        <w:t>– wynika ze wstępnych danych BIG DATA RynekPierwotny.pl.</w:t>
      </w:r>
      <w:r>
        <w:rPr>
          <w:rFonts w:ascii="Poppins" w:eastAsia="Times New Roman" w:hAnsi="Poppins" w:cs="Poppins"/>
          <w:b/>
          <w:bCs/>
          <w:color w:val="23232D"/>
          <w:lang w:eastAsia="pl-PL"/>
        </w:rPr>
        <w:t xml:space="preserve"> </w:t>
      </w:r>
    </w:p>
    <w:p w14:paraId="2BC9D9F8" w14:textId="639167EE" w:rsidR="00B030C4" w:rsidRPr="00B030C4" w:rsidRDefault="00BA0C8F" w:rsidP="00574F98">
      <w:pPr>
        <w:jc w:val="both"/>
        <w:rPr>
          <w:rFonts w:ascii="Poppins" w:hAnsi="Poppins" w:cs="Poppins"/>
          <w:b/>
          <w:bCs/>
          <w:shd w:val="clear" w:color="auto" w:fill="FFFFFF"/>
        </w:rPr>
      </w:pPr>
      <w:r w:rsidRPr="00574F98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– </w:t>
      </w:r>
      <w:bookmarkStart w:id="0" w:name="_Hlk155793187"/>
      <w:r w:rsidRPr="00574F98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 </w:t>
      </w:r>
      <w:r w:rsidR="007E46B1" w:rsidRPr="00574F98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W Warszawie średnia </w:t>
      </w:r>
      <w:r w:rsidRPr="00574F98">
        <w:rPr>
          <w:rFonts w:ascii="Poppins" w:eastAsia="Times New Roman" w:hAnsi="Poppins" w:cs="Poppins"/>
          <w:i/>
          <w:iCs/>
          <w:color w:val="23232D"/>
          <w:lang w:eastAsia="pl-PL"/>
        </w:rPr>
        <w:t>cen</w:t>
      </w:r>
      <w:r w:rsidR="007E46B1" w:rsidRPr="00574F98">
        <w:rPr>
          <w:rFonts w:ascii="Poppins" w:eastAsia="Times New Roman" w:hAnsi="Poppins" w:cs="Poppins"/>
          <w:i/>
          <w:iCs/>
          <w:color w:val="23232D"/>
          <w:lang w:eastAsia="pl-PL"/>
        </w:rPr>
        <w:t>a</w:t>
      </w:r>
      <w:r w:rsidRPr="00574F98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 metra kwadratowego </w:t>
      </w:r>
      <w:r w:rsidR="009059DE">
        <w:rPr>
          <w:rFonts w:ascii="Poppins" w:eastAsia="Times New Roman" w:hAnsi="Poppins" w:cs="Poppins"/>
          <w:i/>
          <w:iCs/>
          <w:color w:val="23232D"/>
          <w:lang w:eastAsia="pl-PL"/>
        </w:rPr>
        <w:t>lokali</w:t>
      </w:r>
      <w:r w:rsidRPr="00574F98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 oferowanych przez firmy deweloperskie </w:t>
      </w:r>
      <w:r w:rsidR="007E46B1" w:rsidRPr="00574F98">
        <w:rPr>
          <w:rFonts w:ascii="Poppins" w:eastAsia="Times New Roman" w:hAnsi="Poppins" w:cs="Poppins"/>
          <w:i/>
          <w:iCs/>
          <w:color w:val="23232D"/>
          <w:lang w:eastAsia="pl-PL"/>
        </w:rPr>
        <w:t>przebiła w styczniu pułap 17 tys. zł.</w:t>
      </w:r>
      <w:r w:rsidR="00B030C4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 </w:t>
      </w:r>
      <w:r w:rsidR="00574F98" w:rsidRPr="00B030C4">
        <w:rPr>
          <w:rFonts w:ascii="Poppins" w:eastAsia="Times New Roman" w:hAnsi="Poppins" w:cs="Poppins"/>
          <w:i/>
          <w:iCs/>
          <w:color w:val="23232D"/>
          <w:lang w:eastAsia="pl-PL"/>
        </w:rPr>
        <w:t>Warto przypomnieć</w:t>
      </w:r>
      <w:r w:rsidR="007E46B1" w:rsidRPr="00B030C4">
        <w:rPr>
          <w:rFonts w:ascii="Poppins" w:eastAsia="Times New Roman" w:hAnsi="Poppins" w:cs="Poppins"/>
          <w:i/>
          <w:iCs/>
          <w:color w:val="23232D"/>
          <w:lang w:eastAsia="pl-PL"/>
        </w:rPr>
        <w:t>, że w</w:t>
      </w:r>
      <w:r w:rsidRPr="00B030C4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 ubiegł</w:t>
      </w:r>
      <w:r w:rsidR="007E46B1" w:rsidRPr="00B030C4">
        <w:rPr>
          <w:rFonts w:ascii="Poppins" w:eastAsia="Times New Roman" w:hAnsi="Poppins" w:cs="Poppins"/>
          <w:i/>
          <w:iCs/>
          <w:color w:val="23232D"/>
          <w:lang w:eastAsia="pl-PL"/>
        </w:rPr>
        <w:t>ym</w:t>
      </w:r>
      <w:r w:rsidRPr="00B030C4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 roku </w:t>
      </w:r>
      <w:r w:rsidR="007E46B1" w:rsidRPr="00B030C4">
        <w:rPr>
          <w:rFonts w:ascii="Poppins" w:eastAsia="Times New Roman" w:hAnsi="Poppins" w:cs="Poppins"/>
          <w:i/>
          <w:iCs/>
          <w:color w:val="23232D"/>
          <w:lang w:eastAsia="pl-PL"/>
        </w:rPr>
        <w:t>średnia cena ofertowa nowych mieszkań w stolicy wzrosła o ponad 3 tys. zł na metrze.</w:t>
      </w:r>
      <w:r w:rsidR="00254DE4" w:rsidRPr="00B030C4">
        <w:rPr>
          <w:rFonts w:ascii="Poppins" w:eastAsia="Times New Roman" w:hAnsi="Poppins" w:cs="Poppins"/>
          <w:i/>
          <w:iCs/>
          <w:color w:val="23232D"/>
          <w:lang w:eastAsia="pl-PL"/>
        </w:rPr>
        <w:t xml:space="preserve"> </w:t>
      </w:r>
      <w:r w:rsidR="00BF21C7" w:rsidRPr="00B030C4">
        <w:rPr>
          <w:rFonts w:ascii="Poppins" w:eastAsia="Times New Roman" w:hAnsi="Poppins" w:cs="Poppins"/>
          <w:i/>
          <w:iCs/>
          <w:color w:val="23232D"/>
          <w:lang w:eastAsia="pl-PL"/>
        </w:rPr>
        <w:t>Na razie nic nie wskazuje na to, by podwyżki miały się zatrzymać</w:t>
      </w:r>
      <w:r w:rsidR="00BF21C7">
        <w:rPr>
          <w:rFonts w:ascii="Poppins" w:eastAsia="Times New Roman" w:hAnsi="Poppins" w:cs="Poppins"/>
          <w:color w:val="23232D"/>
          <w:lang w:eastAsia="pl-PL"/>
        </w:rPr>
        <w:t xml:space="preserve"> </w:t>
      </w:r>
      <w:r w:rsidR="00B030C4">
        <w:rPr>
          <w:rFonts w:ascii="Poppins" w:eastAsia="Times New Roman" w:hAnsi="Poppins" w:cs="Poppins"/>
          <w:color w:val="23232D"/>
          <w:lang w:eastAsia="pl-PL"/>
        </w:rPr>
        <w:t xml:space="preserve">– mówi </w:t>
      </w:r>
      <w:r w:rsidR="00B030C4" w:rsidRPr="00574F98">
        <w:rPr>
          <w:rFonts w:ascii="Poppins" w:eastAsia="Times New Roman" w:hAnsi="Poppins" w:cs="Poppins"/>
          <w:b/>
          <w:bCs/>
          <w:color w:val="23232D"/>
          <w:lang w:eastAsia="pl-PL"/>
        </w:rPr>
        <w:t>Marek Wielgo,</w:t>
      </w:r>
      <w:r w:rsidR="00B030C4" w:rsidRPr="00574F98">
        <w:rPr>
          <w:rFonts w:ascii="Poppins" w:hAnsi="Poppins" w:cs="Poppins"/>
          <w:b/>
          <w:bCs/>
        </w:rPr>
        <w:t xml:space="preserve"> e</w:t>
      </w:r>
      <w:r w:rsidR="00B030C4" w:rsidRPr="00B030C4">
        <w:rPr>
          <w:rStyle w:val="Pogrubienie"/>
          <w:rFonts w:ascii="Poppins" w:hAnsi="Poppins" w:cs="Poppins"/>
          <w:shd w:val="clear" w:color="auto" w:fill="FFFFFF"/>
        </w:rPr>
        <w:t>k</w:t>
      </w:r>
      <w:r w:rsidR="00B030C4" w:rsidRPr="00574F98">
        <w:rPr>
          <w:rFonts w:ascii="Poppins" w:hAnsi="Poppins" w:cs="Poppins"/>
          <w:b/>
          <w:bCs/>
          <w:shd w:val="clear" w:color="auto" w:fill="FFFFFF"/>
        </w:rPr>
        <w:t>spert portali RynekPierwotny.pl i GetHome.pl.</w:t>
      </w:r>
    </w:p>
    <w:p w14:paraId="25E56D1A" w14:textId="76424D41" w:rsidR="007E46B1" w:rsidRDefault="00BF21C7" w:rsidP="00574F98">
      <w:pPr>
        <w:jc w:val="both"/>
        <w:rPr>
          <w:rFonts w:ascii="Poppins" w:eastAsia="Times New Roman" w:hAnsi="Poppins" w:cs="Poppins"/>
          <w:color w:val="23232D"/>
          <w:lang w:eastAsia="pl-PL"/>
        </w:rPr>
      </w:pPr>
      <w:r>
        <w:rPr>
          <w:rFonts w:ascii="Poppins" w:eastAsia="Times New Roman" w:hAnsi="Poppins" w:cs="Poppins"/>
          <w:color w:val="23232D"/>
          <w:lang w:eastAsia="pl-PL"/>
        </w:rPr>
        <w:t xml:space="preserve">Ze wstępnych danych </w:t>
      </w:r>
      <w:hyperlink r:id="rId8" w:history="1">
        <w:r w:rsidRPr="009F0A07">
          <w:rPr>
            <w:rStyle w:val="Hipercze"/>
            <w:rFonts w:ascii="Poppins" w:eastAsia="Times New Roman" w:hAnsi="Poppins" w:cs="Poppins"/>
            <w:lang w:eastAsia="pl-PL"/>
          </w:rPr>
          <w:t>BIG DATA RynekPierwotny.pl</w:t>
        </w:r>
      </w:hyperlink>
      <w:r>
        <w:rPr>
          <w:rFonts w:ascii="Poppins" w:eastAsia="Times New Roman" w:hAnsi="Poppins" w:cs="Poppins"/>
          <w:color w:val="23232D"/>
          <w:lang w:eastAsia="pl-PL"/>
        </w:rPr>
        <w:t xml:space="preserve"> wynika, że w styczniu tego roku </w:t>
      </w:r>
      <w:r w:rsidR="008B5BDC">
        <w:rPr>
          <w:rFonts w:ascii="Poppins" w:eastAsia="Times New Roman" w:hAnsi="Poppins" w:cs="Poppins"/>
          <w:color w:val="23232D"/>
          <w:lang w:eastAsia="pl-PL"/>
        </w:rPr>
        <w:t xml:space="preserve">– mimo wygaśnięcia programu „Bezpieczny Kredyt 2%” – </w:t>
      </w:r>
      <w:r>
        <w:rPr>
          <w:rFonts w:ascii="Poppins" w:eastAsia="Times New Roman" w:hAnsi="Poppins" w:cs="Poppins"/>
          <w:color w:val="23232D"/>
          <w:lang w:eastAsia="pl-PL"/>
        </w:rPr>
        <w:t xml:space="preserve">średnia </w:t>
      </w:r>
      <w:r w:rsidR="00E936D4">
        <w:rPr>
          <w:rFonts w:ascii="Poppins" w:eastAsia="Times New Roman" w:hAnsi="Poppins" w:cs="Poppins"/>
          <w:color w:val="23232D"/>
          <w:lang w:eastAsia="pl-PL"/>
        </w:rPr>
        <w:t xml:space="preserve">cena metra warszawskich lokali </w:t>
      </w:r>
      <w:r>
        <w:rPr>
          <w:rFonts w:ascii="Poppins" w:eastAsia="Times New Roman" w:hAnsi="Poppins" w:cs="Poppins"/>
          <w:color w:val="23232D"/>
          <w:lang w:eastAsia="pl-PL"/>
        </w:rPr>
        <w:t>poszła w górę o kolejne 2%.</w:t>
      </w:r>
    </w:p>
    <w:p w14:paraId="72A9DEBE" w14:textId="625D2069" w:rsidR="00254DE4" w:rsidRDefault="00254DE4" w:rsidP="00574F98">
      <w:pPr>
        <w:pStyle w:val="NormalnyWeb"/>
        <w:jc w:val="both"/>
      </w:pPr>
      <w:r>
        <w:rPr>
          <w:noProof/>
        </w:rPr>
        <w:drawing>
          <wp:inline distT="0" distB="0" distL="0" distR="0" wp14:anchorId="299FCDE0" wp14:editId="17356E60">
            <wp:extent cx="6645910" cy="3688715"/>
            <wp:effectExtent l="0" t="0" r="2540" b="6985"/>
            <wp:docPr id="778936725" name="Obraz 2" descr="Obraz zawierający tekst, zrzut ekranu, Czcion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36725" name="Obraz 2" descr="Obraz zawierający tekst, zrzut ekranu, Czcionka, desig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7A79C" w14:textId="5F23C51B" w:rsidR="000C1C14" w:rsidRDefault="00BF21C7" w:rsidP="00574F98">
      <w:pPr>
        <w:jc w:val="both"/>
        <w:rPr>
          <w:rFonts w:ascii="Poppins" w:eastAsia="Times New Roman" w:hAnsi="Poppins" w:cs="Poppins"/>
          <w:color w:val="23232D"/>
          <w:lang w:eastAsia="pl-PL"/>
        </w:rPr>
      </w:pPr>
      <w:r>
        <w:rPr>
          <w:rFonts w:ascii="Poppins" w:eastAsia="Times New Roman" w:hAnsi="Poppins" w:cs="Poppins"/>
          <w:color w:val="23232D"/>
          <w:lang w:eastAsia="pl-PL"/>
        </w:rPr>
        <w:lastRenderedPageBreak/>
        <w:t xml:space="preserve">Co ciekawe, przez większą część ubiegłego roku oazą stabilności była Łódź. Jednak w grudniu średnia </w:t>
      </w:r>
      <w:r w:rsidR="000064B4">
        <w:rPr>
          <w:rFonts w:ascii="Poppins" w:eastAsia="Times New Roman" w:hAnsi="Poppins" w:cs="Poppins"/>
          <w:color w:val="23232D"/>
          <w:lang w:eastAsia="pl-PL"/>
        </w:rPr>
        <w:t xml:space="preserve">cena metra kwadratowego w tym mieście </w:t>
      </w:r>
      <w:r>
        <w:rPr>
          <w:rFonts w:ascii="Poppins" w:eastAsia="Times New Roman" w:hAnsi="Poppins" w:cs="Poppins"/>
          <w:color w:val="23232D"/>
          <w:lang w:eastAsia="pl-PL"/>
        </w:rPr>
        <w:t>wystrzeliła</w:t>
      </w:r>
      <w:r w:rsidR="00574F98">
        <w:rPr>
          <w:rFonts w:ascii="Poppins" w:eastAsia="Times New Roman" w:hAnsi="Poppins" w:cs="Poppins"/>
          <w:color w:val="23232D"/>
          <w:lang w:eastAsia="pl-PL"/>
        </w:rPr>
        <w:t xml:space="preserve">, </w:t>
      </w:r>
      <w:r>
        <w:rPr>
          <w:rFonts w:ascii="Poppins" w:eastAsia="Times New Roman" w:hAnsi="Poppins" w:cs="Poppins"/>
          <w:color w:val="23232D"/>
          <w:lang w:eastAsia="pl-PL"/>
        </w:rPr>
        <w:t>bo deweloperzy wprowadzili do sprzedaży bardzo drogie – jak na ten rynek – mieszkania. W styczniu</w:t>
      </w:r>
      <w:r w:rsidR="009F0A07">
        <w:rPr>
          <w:rFonts w:ascii="Poppins" w:eastAsia="Times New Roman" w:hAnsi="Poppins" w:cs="Poppins"/>
          <w:color w:val="23232D"/>
          <w:lang w:eastAsia="pl-PL"/>
        </w:rPr>
        <w:t xml:space="preserve"> br.</w:t>
      </w:r>
      <w:r>
        <w:rPr>
          <w:rFonts w:ascii="Poppins" w:eastAsia="Times New Roman" w:hAnsi="Poppins" w:cs="Poppins"/>
          <w:color w:val="23232D"/>
          <w:lang w:eastAsia="pl-PL"/>
        </w:rPr>
        <w:t xml:space="preserve"> na rynek </w:t>
      </w:r>
      <w:r w:rsidR="000064B4">
        <w:rPr>
          <w:rFonts w:ascii="Poppins" w:eastAsia="Times New Roman" w:hAnsi="Poppins" w:cs="Poppins"/>
          <w:color w:val="23232D"/>
          <w:lang w:eastAsia="pl-PL"/>
        </w:rPr>
        <w:t xml:space="preserve">łódzki </w:t>
      </w:r>
      <w:r>
        <w:rPr>
          <w:rFonts w:ascii="Poppins" w:eastAsia="Times New Roman" w:hAnsi="Poppins" w:cs="Poppins"/>
          <w:color w:val="23232D"/>
          <w:lang w:eastAsia="pl-PL"/>
        </w:rPr>
        <w:t>trafiła kolejna pula drogich</w:t>
      </w:r>
      <w:r w:rsidR="009F0A07">
        <w:rPr>
          <w:rFonts w:ascii="Poppins" w:eastAsia="Times New Roman" w:hAnsi="Poppins" w:cs="Poppins"/>
          <w:color w:val="23232D"/>
          <w:lang w:eastAsia="pl-PL"/>
        </w:rPr>
        <w:t xml:space="preserve"> lokali</w:t>
      </w:r>
      <w:r>
        <w:rPr>
          <w:rFonts w:ascii="Poppins" w:eastAsia="Times New Roman" w:hAnsi="Poppins" w:cs="Poppins"/>
          <w:color w:val="23232D"/>
          <w:lang w:eastAsia="pl-PL"/>
        </w:rPr>
        <w:t>, co spowodowało wzrost średniej o 4%.</w:t>
      </w:r>
    </w:p>
    <w:p w14:paraId="5DA9ECA7" w14:textId="6702C130" w:rsidR="000C1C14" w:rsidRPr="000C1C14" w:rsidRDefault="00BF21C7" w:rsidP="00574F98">
      <w:pPr>
        <w:jc w:val="both"/>
        <w:rPr>
          <w:rFonts w:ascii="Poppins" w:eastAsia="Times New Roman" w:hAnsi="Poppins" w:cs="Poppins"/>
          <w:color w:val="23232D"/>
          <w:lang w:eastAsia="pl-PL"/>
        </w:rPr>
      </w:pPr>
      <w:r>
        <w:rPr>
          <w:rFonts w:ascii="Poppins" w:eastAsia="Times New Roman" w:hAnsi="Poppins" w:cs="Poppins"/>
          <w:color w:val="23232D"/>
          <w:lang w:eastAsia="pl-PL"/>
        </w:rPr>
        <w:t>Krak</w:t>
      </w:r>
      <w:r w:rsidR="000C1C14">
        <w:rPr>
          <w:rFonts w:ascii="Poppins" w:eastAsia="Times New Roman" w:hAnsi="Poppins" w:cs="Poppins"/>
          <w:color w:val="23232D"/>
          <w:lang w:eastAsia="pl-PL"/>
        </w:rPr>
        <w:t>ów,</w:t>
      </w:r>
      <w:r>
        <w:rPr>
          <w:rFonts w:ascii="Poppins" w:eastAsia="Times New Roman" w:hAnsi="Poppins" w:cs="Poppins"/>
          <w:color w:val="23232D"/>
          <w:lang w:eastAsia="pl-PL"/>
        </w:rPr>
        <w:t xml:space="preserve"> Pozna</w:t>
      </w:r>
      <w:r w:rsidR="000C1C14">
        <w:rPr>
          <w:rFonts w:ascii="Poppins" w:eastAsia="Times New Roman" w:hAnsi="Poppins" w:cs="Poppins"/>
          <w:color w:val="23232D"/>
          <w:lang w:eastAsia="pl-PL"/>
        </w:rPr>
        <w:t>ń i Wrocław są miastami, w których g</w:t>
      </w:r>
      <w:r w:rsidR="000C1C14" w:rsidRPr="000C1C14">
        <w:rPr>
          <w:rFonts w:ascii="Poppins" w:eastAsia="Times New Roman" w:hAnsi="Poppins" w:cs="Poppins"/>
          <w:color w:val="23232D"/>
          <w:lang w:eastAsia="pl-PL"/>
        </w:rPr>
        <w:t>rudzień ubiegłego roku przyniósł pierwsze symptomy stabilizacji cen</w:t>
      </w:r>
      <w:r w:rsidR="000C1C14">
        <w:rPr>
          <w:rFonts w:ascii="Poppins" w:eastAsia="Times New Roman" w:hAnsi="Poppins" w:cs="Poppins"/>
          <w:color w:val="23232D"/>
          <w:lang w:eastAsia="pl-PL"/>
        </w:rPr>
        <w:t>. I</w:t>
      </w:r>
      <w:r w:rsidR="000C1C14" w:rsidRPr="000C1C14">
        <w:rPr>
          <w:rFonts w:ascii="Poppins" w:eastAsia="Times New Roman" w:hAnsi="Poppins" w:cs="Poppins"/>
          <w:color w:val="23232D"/>
          <w:lang w:eastAsia="pl-PL"/>
        </w:rPr>
        <w:t xml:space="preserve">ch średnia w przeliczeniu na metr kwadratowy </w:t>
      </w:r>
      <w:r w:rsidR="000C1C14">
        <w:rPr>
          <w:rFonts w:ascii="Poppins" w:eastAsia="Times New Roman" w:hAnsi="Poppins" w:cs="Poppins"/>
          <w:color w:val="23232D"/>
          <w:lang w:eastAsia="pl-PL"/>
        </w:rPr>
        <w:t xml:space="preserve">wówczas </w:t>
      </w:r>
      <w:r w:rsidR="008B5BDC">
        <w:rPr>
          <w:rFonts w:ascii="Poppins" w:eastAsia="Times New Roman" w:hAnsi="Poppins" w:cs="Poppins"/>
          <w:color w:val="23232D"/>
          <w:lang w:eastAsia="pl-PL"/>
        </w:rPr>
        <w:t xml:space="preserve">praktycznie </w:t>
      </w:r>
      <w:r w:rsidR="000C1C14">
        <w:rPr>
          <w:rFonts w:ascii="Poppins" w:eastAsia="Times New Roman" w:hAnsi="Poppins" w:cs="Poppins"/>
          <w:color w:val="23232D"/>
          <w:lang w:eastAsia="pl-PL"/>
        </w:rPr>
        <w:t>nie drgnęła. Natomiast w styczniu</w:t>
      </w:r>
      <w:r w:rsidR="00574F98">
        <w:rPr>
          <w:rFonts w:ascii="Poppins" w:eastAsia="Times New Roman" w:hAnsi="Poppins" w:cs="Poppins"/>
          <w:color w:val="23232D"/>
          <w:lang w:eastAsia="pl-PL"/>
        </w:rPr>
        <w:t>,</w:t>
      </w:r>
      <w:r w:rsidR="000C1C14">
        <w:rPr>
          <w:rFonts w:ascii="Poppins" w:eastAsia="Times New Roman" w:hAnsi="Poppins" w:cs="Poppins"/>
          <w:color w:val="23232D"/>
          <w:lang w:eastAsia="pl-PL"/>
        </w:rPr>
        <w:t xml:space="preserve"> w tych dwóch pierwszych dwóch metropoliach</w:t>
      </w:r>
      <w:r w:rsidR="00574F98">
        <w:rPr>
          <w:rFonts w:ascii="Poppins" w:eastAsia="Times New Roman" w:hAnsi="Poppins" w:cs="Poppins"/>
          <w:color w:val="23232D"/>
          <w:lang w:eastAsia="pl-PL"/>
        </w:rPr>
        <w:t>,</w:t>
      </w:r>
      <w:r w:rsidR="000C1C14">
        <w:rPr>
          <w:rFonts w:ascii="Poppins" w:eastAsia="Times New Roman" w:hAnsi="Poppins" w:cs="Poppins"/>
          <w:color w:val="23232D"/>
          <w:lang w:eastAsia="pl-PL"/>
        </w:rPr>
        <w:t xml:space="preserve"> odnotowa</w:t>
      </w:r>
      <w:r w:rsidR="00574F98">
        <w:rPr>
          <w:rFonts w:ascii="Poppins" w:eastAsia="Times New Roman" w:hAnsi="Poppins" w:cs="Poppins"/>
          <w:color w:val="23232D"/>
          <w:lang w:eastAsia="pl-PL"/>
        </w:rPr>
        <w:t>no</w:t>
      </w:r>
      <w:r w:rsidR="000C1C14">
        <w:rPr>
          <w:rFonts w:ascii="Poppins" w:eastAsia="Times New Roman" w:hAnsi="Poppins" w:cs="Poppins"/>
          <w:color w:val="23232D"/>
          <w:lang w:eastAsia="pl-PL"/>
        </w:rPr>
        <w:t xml:space="preserve"> 1% podwyżkę średniej. W stolicy Dolnego Śląska </w:t>
      </w:r>
      <w:r w:rsidR="008B5BDC">
        <w:rPr>
          <w:rFonts w:ascii="Poppins" w:eastAsia="Times New Roman" w:hAnsi="Poppins" w:cs="Poppins"/>
          <w:color w:val="23232D"/>
          <w:lang w:eastAsia="pl-PL"/>
        </w:rPr>
        <w:t xml:space="preserve">nie </w:t>
      </w:r>
      <w:r w:rsidR="000C1C14">
        <w:rPr>
          <w:rFonts w:ascii="Poppins" w:eastAsia="Times New Roman" w:hAnsi="Poppins" w:cs="Poppins"/>
          <w:color w:val="23232D"/>
          <w:lang w:eastAsia="pl-PL"/>
        </w:rPr>
        <w:t>zmieniła się ona drugi miesiąc z rzędu</w:t>
      </w:r>
      <w:r w:rsidR="000C1C14" w:rsidRPr="000C1C14">
        <w:rPr>
          <w:rFonts w:ascii="Poppins" w:eastAsia="Times New Roman" w:hAnsi="Poppins" w:cs="Poppins"/>
          <w:color w:val="23232D"/>
          <w:lang w:eastAsia="pl-PL"/>
        </w:rPr>
        <w:t>.</w:t>
      </w:r>
    </w:p>
    <w:p w14:paraId="39FBF80F" w14:textId="4F4863E7" w:rsidR="00BF21C7" w:rsidRDefault="00BF21C7" w:rsidP="00574F98">
      <w:pPr>
        <w:pStyle w:val="NormalnyWeb"/>
        <w:jc w:val="both"/>
      </w:pPr>
      <w:r>
        <w:rPr>
          <w:noProof/>
        </w:rPr>
        <w:drawing>
          <wp:inline distT="0" distB="0" distL="0" distR="0" wp14:anchorId="2E3ECAEF" wp14:editId="3F165542">
            <wp:extent cx="6645910" cy="3689985"/>
            <wp:effectExtent l="0" t="0" r="2540" b="5715"/>
            <wp:docPr id="2036698654" name="Obraz 3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698654" name="Obraz 3" descr="Obraz zawierający tekst, zrzut ekranu, Czcionka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AC3D8" w14:textId="6FC0B002" w:rsidR="00725402" w:rsidRDefault="00BF21C7" w:rsidP="00574F98">
      <w:pPr>
        <w:jc w:val="both"/>
        <w:rPr>
          <w:rFonts w:ascii="Poppins" w:eastAsia="Times New Roman" w:hAnsi="Poppins" w:cs="Poppins"/>
          <w:color w:val="23232D"/>
          <w:lang w:eastAsia="pl-PL"/>
        </w:rPr>
      </w:pPr>
      <w:r>
        <w:rPr>
          <w:rFonts w:ascii="Poppins" w:eastAsia="Times New Roman" w:hAnsi="Poppins" w:cs="Poppins"/>
          <w:color w:val="23232D"/>
          <w:lang w:eastAsia="pl-PL"/>
        </w:rPr>
        <w:t xml:space="preserve">Z ciekawą sytuacją mamy do czynienia w Trójmieście. W ubiegłym roku </w:t>
      </w:r>
      <w:r w:rsidR="00725402">
        <w:rPr>
          <w:rFonts w:ascii="Poppins" w:eastAsia="Times New Roman" w:hAnsi="Poppins" w:cs="Poppins"/>
          <w:color w:val="23232D"/>
          <w:lang w:eastAsia="pl-PL"/>
        </w:rPr>
        <w:t xml:space="preserve">to właśnie </w:t>
      </w:r>
      <w:r>
        <w:rPr>
          <w:rFonts w:ascii="Poppins" w:eastAsia="Times New Roman" w:hAnsi="Poppins" w:cs="Poppins"/>
          <w:color w:val="23232D"/>
          <w:lang w:eastAsia="pl-PL"/>
        </w:rPr>
        <w:t xml:space="preserve">ta metropolia była liderem podwyżek (o 27%). Natomiast w styczniu średnia cena metra kwadratowego spadła tu o 2%. </w:t>
      </w:r>
      <w:r w:rsidR="00725402">
        <w:rPr>
          <w:rFonts w:ascii="Poppins" w:eastAsia="Times New Roman" w:hAnsi="Poppins" w:cs="Poppins"/>
          <w:color w:val="23232D"/>
          <w:lang w:eastAsia="pl-PL"/>
        </w:rPr>
        <w:t>Z kolei w miastach Górnośląsko-Zagłębiowskiej Metropolii, już drugi miesiąc z rzędu odnotowa</w:t>
      </w:r>
      <w:r w:rsidR="00574F98">
        <w:rPr>
          <w:rFonts w:ascii="Poppins" w:eastAsia="Times New Roman" w:hAnsi="Poppins" w:cs="Poppins"/>
          <w:color w:val="23232D"/>
          <w:lang w:eastAsia="pl-PL"/>
        </w:rPr>
        <w:t>no</w:t>
      </w:r>
      <w:r w:rsidR="00725402">
        <w:rPr>
          <w:rFonts w:ascii="Poppins" w:eastAsia="Times New Roman" w:hAnsi="Poppins" w:cs="Poppins"/>
          <w:color w:val="23232D"/>
          <w:lang w:eastAsia="pl-PL"/>
        </w:rPr>
        <w:t xml:space="preserve"> spadek średniej o 1%. </w:t>
      </w:r>
    </w:p>
    <w:p w14:paraId="2DE44BB6" w14:textId="1FF79641" w:rsidR="00725402" w:rsidRPr="00725402" w:rsidRDefault="00725402" w:rsidP="00574F98">
      <w:pPr>
        <w:jc w:val="both"/>
        <w:rPr>
          <w:rFonts w:ascii="Poppins" w:hAnsi="Poppins" w:cs="Poppins"/>
        </w:rPr>
      </w:pPr>
      <w:r w:rsidRPr="00574F98">
        <w:rPr>
          <w:rFonts w:ascii="Poppins" w:eastAsia="Times New Roman" w:hAnsi="Poppins" w:cs="Poppins"/>
          <w:i/>
          <w:iCs/>
          <w:color w:val="23232D"/>
          <w:lang w:eastAsia="pl-PL"/>
        </w:rPr>
        <w:t>– To pokazuje jak ważne jest to, jakie mieszkania trafiają na rynek. Żeby ich średnia cena metra kwadratowego przestała rosnąć, k</w:t>
      </w:r>
      <w:r w:rsidRPr="00574F98">
        <w:rPr>
          <w:rFonts w:ascii="Poppins" w:hAnsi="Poppins" w:cs="Poppins"/>
          <w:i/>
          <w:iCs/>
        </w:rPr>
        <w:t>onieczny jest radykalny wzrost podaży mieszkań w segmencie popularnym, czyli budowanych z myślą o klientach, którzy muszą posiłkować się kredytem</w:t>
      </w:r>
      <w:r w:rsidRPr="00725402">
        <w:rPr>
          <w:rFonts w:ascii="Poppins" w:hAnsi="Poppins" w:cs="Poppins"/>
          <w:i/>
          <w:iCs/>
        </w:rPr>
        <w:t xml:space="preserve"> </w:t>
      </w:r>
      <w:r w:rsidRPr="00725402">
        <w:rPr>
          <w:rFonts w:ascii="Poppins" w:hAnsi="Poppins" w:cs="Poppins"/>
        </w:rPr>
        <w:t>– komentuje Marek Wielgo.</w:t>
      </w:r>
    </w:p>
    <w:p w14:paraId="77861FD6" w14:textId="4E2D306A" w:rsidR="00725402" w:rsidRDefault="00725402" w:rsidP="00574F98">
      <w:pPr>
        <w:jc w:val="both"/>
        <w:rPr>
          <w:rFonts w:ascii="Poppins" w:hAnsi="Poppins" w:cs="Poppins"/>
        </w:rPr>
      </w:pPr>
      <w:r w:rsidRPr="00725402">
        <w:rPr>
          <w:rFonts w:ascii="Poppins" w:hAnsi="Poppins" w:cs="Poppins"/>
        </w:rPr>
        <w:t>Według niego, taki scenariusz jest prawdopodobny</w:t>
      </w:r>
      <w:r>
        <w:rPr>
          <w:rFonts w:ascii="Poppins" w:hAnsi="Poppins" w:cs="Poppins"/>
        </w:rPr>
        <w:t xml:space="preserve">, co </w:t>
      </w:r>
      <w:r w:rsidR="000C1C14">
        <w:rPr>
          <w:rFonts w:ascii="Poppins" w:hAnsi="Poppins" w:cs="Poppins"/>
        </w:rPr>
        <w:t xml:space="preserve">widać na </w:t>
      </w:r>
      <w:r>
        <w:rPr>
          <w:rFonts w:ascii="Poppins" w:hAnsi="Poppins" w:cs="Poppins"/>
        </w:rPr>
        <w:t>przykład</w:t>
      </w:r>
      <w:r w:rsidR="000C1C14">
        <w:rPr>
          <w:rFonts w:ascii="Poppins" w:hAnsi="Poppins" w:cs="Poppins"/>
        </w:rPr>
        <w:t xml:space="preserve">zie </w:t>
      </w:r>
      <w:r>
        <w:rPr>
          <w:rFonts w:ascii="Poppins" w:hAnsi="Poppins" w:cs="Poppins"/>
        </w:rPr>
        <w:t xml:space="preserve">obu tych metropolii. W styczniu mieszkania wprowadzone do sprzedaży przez trójmiejskich deweloperów kosztowały przeciętnie 13,2 tys. zł za m kw., a więc znacznie poniżej średniej, która przekracza 14,7 tys. zł za metr. Podobnie w </w:t>
      </w:r>
      <w:r>
        <w:rPr>
          <w:rFonts w:ascii="Poppins" w:eastAsia="Times New Roman" w:hAnsi="Poppins" w:cs="Poppins"/>
          <w:color w:val="23232D"/>
          <w:lang w:eastAsia="pl-PL"/>
        </w:rPr>
        <w:t>miastach Górnośląsko-Zagłębiowskiej Metropolii</w:t>
      </w:r>
      <w:r w:rsidR="008D2313">
        <w:rPr>
          <w:rFonts w:ascii="Poppins" w:eastAsia="Times New Roman" w:hAnsi="Poppins" w:cs="Poppins"/>
          <w:color w:val="23232D"/>
          <w:lang w:eastAsia="pl-PL"/>
        </w:rPr>
        <w:t>.</w:t>
      </w:r>
    </w:p>
    <w:p w14:paraId="48F80600" w14:textId="1AD8226E" w:rsidR="00574F98" w:rsidRDefault="008D2313" w:rsidP="00574F98">
      <w:pPr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lastRenderedPageBreak/>
        <w:t>E</w:t>
      </w:r>
      <w:r w:rsidRPr="00635546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k</w:t>
      </w:r>
      <w:r w:rsidRPr="00635546">
        <w:rPr>
          <w:rFonts w:ascii="Poppins" w:hAnsi="Poppins" w:cs="Poppins"/>
          <w:shd w:val="clear" w:color="auto" w:fill="FFFFFF"/>
        </w:rPr>
        <w:t>spert portali RynekPierwotny.pl i GetHome.pl</w:t>
      </w:r>
      <w:r>
        <w:rPr>
          <w:rFonts w:ascii="Poppins" w:hAnsi="Poppins" w:cs="Poppins"/>
          <w:shd w:val="clear" w:color="auto" w:fill="FFFFFF"/>
        </w:rPr>
        <w:t xml:space="preserve"> </w:t>
      </w:r>
      <w:r w:rsidRPr="008D2313">
        <w:rPr>
          <w:rFonts w:ascii="Poppins" w:hAnsi="Poppins" w:cs="Poppins"/>
        </w:rPr>
        <w:t>przyznaje, że możliwy jest też niekorzystny z punktu widzenia wielu potencjalnych nabywców mieszkań scenariusz - wzrost podaży</w:t>
      </w:r>
      <w:r w:rsidR="000064B4">
        <w:rPr>
          <w:rFonts w:ascii="Poppins" w:hAnsi="Poppins" w:cs="Poppins"/>
        </w:rPr>
        <w:t>, ale głównie</w:t>
      </w:r>
      <w:r w:rsidRPr="008D2313">
        <w:rPr>
          <w:rFonts w:ascii="Poppins" w:hAnsi="Poppins" w:cs="Poppins"/>
        </w:rPr>
        <w:t xml:space="preserve"> mieszkań drogich. </w:t>
      </w:r>
      <w:r w:rsidR="000C1C14">
        <w:rPr>
          <w:rFonts w:ascii="Poppins" w:hAnsi="Poppins" w:cs="Poppins"/>
        </w:rPr>
        <w:t>Z</w:t>
      </w:r>
      <w:r w:rsidRPr="008D2313">
        <w:rPr>
          <w:rFonts w:ascii="Poppins" w:hAnsi="Poppins" w:cs="Poppins"/>
        </w:rPr>
        <w:t xml:space="preserve"> taką sytuacją mieliśmy do czynienia w grudniu </w:t>
      </w:r>
      <w:r>
        <w:rPr>
          <w:rFonts w:ascii="Poppins" w:hAnsi="Poppins" w:cs="Poppins"/>
        </w:rPr>
        <w:t xml:space="preserve">i w styczniu </w:t>
      </w:r>
      <w:r w:rsidRPr="008D2313">
        <w:rPr>
          <w:rFonts w:ascii="Poppins" w:hAnsi="Poppins" w:cs="Poppins"/>
        </w:rPr>
        <w:t>w Łodzi</w:t>
      </w:r>
      <w:r w:rsidR="000C1C14">
        <w:rPr>
          <w:rFonts w:ascii="Poppins" w:hAnsi="Poppins" w:cs="Poppins"/>
        </w:rPr>
        <w:t>. Ś</w:t>
      </w:r>
      <w:r w:rsidR="000064B4">
        <w:rPr>
          <w:rFonts w:ascii="Poppins" w:hAnsi="Poppins" w:cs="Poppins"/>
        </w:rPr>
        <w:t xml:space="preserve">rednia cena metra kwadratowego mieszkań wprowadzanych </w:t>
      </w:r>
      <w:r w:rsidR="000C1C14">
        <w:rPr>
          <w:rFonts w:ascii="Poppins" w:hAnsi="Poppins" w:cs="Poppins"/>
        </w:rPr>
        <w:t xml:space="preserve">do sprzedaży w tym okresie </w:t>
      </w:r>
      <w:r w:rsidR="000064B4">
        <w:rPr>
          <w:rFonts w:ascii="Poppins" w:hAnsi="Poppins" w:cs="Poppins"/>
        </w:rPr>
        <w:t xml:space="preserve">przez </w:t>
      </w:r>
      <w:r w:rsidR="000C1C14">
        <w:rPr>
          <w:rFonts w:ascii="Poppins" w:hAnsi="Poppins" w:cs="Poppins"/>
        </w:rPr>
        <w:t xml:space="preserve">łódzkich </w:t>
      </w:r>
      <w:r w:rsidR="000064B4">
        <w:rPr>
          <w:rFonts w:ascii="Poppins" w:hAnsi="Poppins" w:cs="Poppins"/>
        </w:rPr>
        <w:t>deweloperów sięgała 14 tys. zł</w:t>
      </w:r>
      <w:r w:rsidRPr="008D2313">
        <w:rPr>
          <w:rFonts w:ascii="Poppins" w:hAnsi="Poppins" w:cs="Poppins"/>
        </w:rPr>
        <w:t xml:space="preserve">. </w:t>
      </w:r>
      <w:r w:rsidR="008B5BDC">
        <w:rPr>
          <w:rFonts w:ascii="Poppins" w:hAnsi="Poppins" w:cs="Poppins"/>
        </w:rPr>
        <w:t>W tym mieście ś</w:t>
      </w:r>
      <w:r w:rsidR="000C1C14">
        <w:rPr>
          <w:rFonts w:ascii="Poppins" w:hAnsi="Poppins" w:cs="Poppins"/>
        </w:rPr>
        <w:t xml:space="preserve">rednia wynosi zaś niespełna 11 tys. zł. </w:t>
      </w:r>
      <w:r w:rsidR="000064B4">
        <w:rPr>
          <w:rFonts w:ascii="Poppins" w:hAnsi="Poppins" w:cs="Poppins"/>
        </w:rPr>
        <w:t>W dodatku wyprzedawały się najtańsze lokale, co dodatkowo</w:t>
      </w:r>
      <w:r w:rsidR="000C1C14">
        <w:rPr>
          <w:rFonts w:ascii="Poppins" w:hAnsi="Poppins" w:cs="Poppins"/>
        </w:rPr>
        <w:t xml:space="preserve"> </w:t>
      </w:r>
      <w:r w:rsidR="000064B4">
        <w:rPr>
          <w:rFonts w:ascii="Poppins" w:hAnsi="Poppins" w:cs="Poppins"/>
        </w:rPr>
        <w:t>windowało</w:t>
      </w:r>
      <w:r w:rsidR="00574F98">
        <w:rPr>
          <w:rFonts w:ascii="Poppins" w:hAnsi="Poppins" w:cs="Poppins"/>
        </w:rPr>
        <w:t xml:space="preserve"> cenę</w:t>
      </w:r>
      <w:r w:rsidR="000064B4">
        <w:rPr>
          <w:rFonts w:ascii="Poppins" w:hAnsi="Poppins" w:cs="Poppins"/>
        </w:rPr>
        <w:t>.</w:t>
      </w:r>
    </w:p>
    <w:p w14:paraId="346E7BBC" w14:textId="36A73DBB" w:rsidR="00725402" w:rsidRDefault="00725402" w:rsidP="00574F98">
      <w:pPr>
        <w:jc w:val="both"/>
      </w:pPr>
      <w:r>
        <w:rPr>
          <w:noProof/>
        </w:rPr>
        <w:drawing>
          <wp:inline distT="0" distB="0" distL="0" distR="0" wp14:anchorId="036E2AD9" wp14:editId="1538F98D">
            <wp:extent cx="6645910" cy="3678555"/>
            <wp:effectExtent l="0" t="0" r="2540" b="0"/>
            <wp:docPr id="1694076977" name="Obraz 4" descr="Obraz zawierający tekst, zrzut ekranu, Czcion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076977" name="Obraz 4" descr="Obraz zawierający tekst, zrzut ekranu, Czcionka, desig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46E15" w14:textId="21CC4F53" w:rsidR="000C1C14" w:rsidRDefault="000064B4" w:rsidP="00574F98">
      <w:pPr>
        <w:jc w:val="both"/>
        <w:rPr>
          <w:rStyle w:val="Pogrubienie"/>
          <w:rFonts w:ascii="Poppins" w:hAnsi="Poppins" w:cs="Poppins"/>
          <w:b w:val="0"/>
          <w:bCs w:val="0"/>
          <w:shd w:val="clear" w:color="auto" w:fill="FFFFFF"/>
        </w:rPr>
      </w:pPr>
      <w:r w:rsidRPr="00CB652C">
        <w:rPr>
          <w:rFonts w:ascii="Poppins" w:hAnsi="Poppins" w:cs="Poppins"/>
        </w:rPr>
        <w:t xml:space="preserve">Zjawisko wyprzedaży najtańszych lokali </w:t>
      </w:r>
      <w:r>
        <w:rPr>
          <w:rFonts w:ascii="Poppins" w:hAnsi="Poppins" w:cs="Poppins"/>
        </w:rPr>
        <w:t>i p</w:t>
      </w:r>
      <w:r w:rsidRPr="00CB652C">
        <w:rPr>
          <w:rFonts w:ascii="Poppins" w:hAnsi="Poppins" w:cs="Poppins"/>
        </w:rPr>
        <w:t>odnoszenia ich cen</w:t>
      </w:r>
      <w:r>
        <w:rPr>
          <w:rFonts w:ascii="Poppins" w:hAnsi="Poppins" w:cs="Poppins"/>
        </w:rPr>
        <w:t xml:space="preserve"> naj</w:t>
      </w:r>
      <w:r w:rsidRPr="00CB652C">
        <w:rPr>
          <w:rFonts w:ascii="Poppins" w:hAnsi="Poppins" w:cs="Poppins"/>
        </w:rPr>
        <w:t xml:space="preserve">lepiej obrazuje struktura cen </w:t>
      </w:r>
      <w:r w:rsidR="00ED6992">
        <w:rPr>
          <w:rFonts w:ascii="Poppins" w:hAnsi="Poppins" w:cs="Poppins"/>
        </w:rPr>
        <w:t>lokali</w:t>
      </w:r>
      <w:r w:rsidRPr="00CB652C">
        <w:rPr>
          <w:rFonts w:ascii="Poppins" w:hAnsi="Poppins" w:cs="Poppins"/>
        </w:rPr>
        <w:t xml:space="preserve"> w ofercie firm deweloperskich. </w:t>
      </w:r>
      <w:r w:rsidR="000C1C14">
        <w:rPr>
          <w:rFonts w:ascii="Poppins" w:hAnsi="Poppins" w:cs="Poppins"/>
        </w:rPr>
        <w:t xml:space="preserve">We wspomnianej </w:t>
      </w:r>
      <w:r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Łodzi w styczniu wzrosła </w:t>
      </w:r>
      <w:r w:rsidR="000C1C14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liczba mieszkań </w:t>
      </w:r>
      <w:r w:rsidR="00574F98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w </w:t>
      </w:r>
      <w:r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of</w:t>
      </w:r>
      <w:r w:rsidR="000C1C14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ercie deweloperów. Rzecz w tym, że </w:t>
      </w:r>
      <w:r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skurczył się </w:t>
      </w:r>
      <w:r w:rsidR="000C1C14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w niej – z 32% do 28% - udział mieszkań w cenie do 9 tys. zł za m kw., zaś zwiększył się – z  15% do 24% - odsetek lokali, za które deweloperzy życzą sobie ponad 12 tys. zł za metr.</w:t>
      </w:r>
    </w:p>
    <w:p w14:paraId="1C06F049" w14:textId="2FA378BF" w:rsidR="000C1C14" w:rsidRDefault="000C1C14" w:rsidP="00574F98">
      <w:pPr>
        <w:jc w:val="both"/>
        <w:rPr>
          <w:rStyle w:val="Pogrubienie"/>
          <w:rFonts w:ascii="Poppins" w:hAnsi="Poppins" w:cs="Poppins"/>
          <w:b w:val="0"/>
          <w:bCs w:val="0"/>
          <w:shd w:val="clear" w:color="auto" w:fill="FFFFFF"/>
        </w:rPr>
      </w:pPr>
      <w:r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W Trójmieście zmiana struktury cenowej oferty firm deweloperskich nie była tak spektakularna. </w:t>
      </w:r>
      <w:r w:rsidR="00574F98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Warto</w:t>
      </w:r>
      <w:r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 zwr</w:t>
      </w:r>
      <w:r w:rsidR="00574F98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ócić</w:t>
      </w:r>
      <w:r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 uwagę, że kupujący mogli przebierać w większej liczbie ofert lokali za 10-12 tys. zł za m kw. Mniej było ich zaś w segmencie </w:t>
      </w:r>
      <w:r w:rsidRPr="00ED6992">
        <w:rPr>
          <w:rStyle w:val="Pogrubienie"/>
          <w:rFonts w:ascii="Poppins" w:hAnsi="Poppins" w:cs="Poppins"/>
          <w:b w:val="0"/>
          <w:bCs w:val="0"/>
          <w:i/>
          <w:iCs/>
          <w:shd w:val="clear" w:color="auto" w:fill="FFFFFF"/>
        </w:rPr>
        <w:t>premium</w:t>
      </w:r>
      <w:r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>, czyli z ceną  metra kwadratowego powyżej 15 tys. zł.</w:t>
      </w:r>
    </w:p>
    <w:p w14:paraId="2C56D21C" w14:textId="67A0B9DB" w:rsidR="000064B4" w:rsidRDefault="000C1C14" w:rsidP="00574F98">
      <w:pPr>
        <w:jc w:val="both"/>
        <w:rPr>
          <w:rStyle w:val="Pogrubienie"/>
          <w:rFonts w:ascii="Poppins" w:hAnsi="Poppins" w:cs="Poppins"/>
          <w:b w:val="0"/>
          <w:bCs w:val="0"/>
          <w:shd w:val="clear" w:color="auto" w:fill="FFFFFF"/>
        </w:rPr>
      </w:pPr>
      <w:r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 </w:t>
      </w:r>
    </w:p>
    <w:p w14:paraId="4B2ED982" w14:textId="3284532C" w:rsidR="000C1C14" w:rsidRDefault="000C1C14" w:rsidP="00574F98">
      <w:pPr>
        <w:pStyle w:val="NormalnyWeb"/>
        <w:jc w:val="both"/>
      </w:pPr>
      <w:r>
        <w:rPr>
          <w:noProof/>
        </w:rPr>
        <w:lastRenderedPageBreak/>
        <w:drawing>
          <wp:inline distT="0" distB="0" distL="0" distR="0" wp14:anchorId="1BD811C8" wp14:editId="1DCA9641">
            <wp:extent cx="6645910" cy="4565650"/>
            <wp:effectExtent l="0" t="0" r="2540" b="6350"/>
            <wp:docPr id="1400287133" name="Obraz 5" descr="Obraz zawierający tekst, zrzut ekranu, Wielobarwność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287133" name="Obraz 5" descr="Obraz zawierający tekst, zrzut ekranu, Wielobarwność, num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F1501" w14:textId="10C38350" w:rsidR="008B5BDC" w:rsidRDefault="003007CB" w:rsidP="00574F98">
      <w:pPr>
        <w:jc w:val="both"/>
        <w:rPr>
          <w:rStyle w:val="Pogrubienie"/>
          <w:rFonts w:ascii="Poppins" w:hAnsi="Poppins" w:cs="Poppins"/>
          <w:b w:val="0"/>
          <w:bCs w:val="0"/>
          <w:shd w:val="clear" w:color="auto" w:fill="FFFFFF"/>
        </w:rPr>
      </w:pPr>
      <w:r>
        <w:rPr>
          <w:rFonts w:ascii="Poppins" w:hAnsi="Poppins" w:cs="Poppins"/>
          <w:shd w:val="clear" w:color="auto" w:fill="FFFFFF"/>
        </w:rPr>
        <w:t xml:space="preserve">W styczniu </w:t>
      </w:r>
      <w:r w:rsidR="00574F98">
        <w:rPr>
          <w:rFonts w:ascii="Poppins" w:hAnsi="Poppins" w:cs="Poppins"/>
          <w:shd w:val="clear" w:color="auto" w:fill="FFFFFF"/>
        </w:rPr>
        <w:t xml:space="preserve">2024 r. </w:t>
      </w:r>
      <w:r>
        <w:rPr>
          <w:rFonts w:ascii="Poppins" w:hAnsi="Poppins" w:cs="Poppins"/>
          <w:shd w:val="clear" w:color="auto" w:fill="FFFFFF"/>
        </w:rPr>
        <w:t xml:space="preserve">kontynuowały marsz w górę także ceny mieszkań oferowanych na rynku wtórnym. Jak wynika z danych portalu GetHome.pl, w Warszawie i miastach Górnośląsko-Zagłębiowskiej Metropolii średnia cena metra kwadratowego podskoczyła w ciągu miesiąca o 2%, a w Krakowie, Wrocławiu, Trójmieście i Poznaniu </w:t>
      </w:r>
      <w:r w:rsidR="008B5BDC">
        <w:rPr>
          <w:rFonts w:ascii="Poppins" w:hAnsi="Poppins" w:cs="Poppins"/>
        </w:rPr>
        <w:t xml:space="preserve">– o </w:t>
      </w:r>
      <w:r>
        <w:rPr>
          <w:rFonts w:ascii="Poppins" w:hAnsi="Poppins" w:cs="Poppins"/>
        </w:rPr>
        <w:t>1</w:t>
      </w:r>
      <w:r w:rsidR="008B5BDC">
        <w:rPr>
          <w:rFonts w:ascii="Poppins" w:hAnsi="Poppins" w:cs="Poppins"/>
        </w:rPr>
        <w:t xml:space="preserve">%.  </w:t>
      </w:r>
      <w:r>
        <w:rPr>
          <w:rFonts w:ascii="Poppins" w:hAnsi="Poppins" w:cs="Poppins"/>
        </w:rPr>
        <w:t>Jedynie w Łodzi średnia utrzymała poziom z grudnia ubiegłego roku</w:t>
      </w:r>
      <w:r w:rsidR="008B5BDC">
        <w:rPr>
          <w:rStyle w:val="Pogrubienie"/>
          <w:rFonts w:ascii="Poppins" w:hAnsi="Poppins" w:cs="Poppins"/>
          <w:b w:val="0"/>
          <w:bCs w:val="0"/>
          <w:shd w:val="clear" w:color="auto" w:fill="FFFFFF"/>
        </w:rPr>
        <w:t xml:space="preserve">. </w:t>
      </w:r>
    </w:p>
    <w:p w14:paraId="20B6B971" w14:textId="3532A0C8" w:rsidR="003007CB" w:rsidRDefault="003007CB" w:rsidP="00574F98">
      <w:pPr>
        <w:pStyle w:val="NormalnyWeb"/>
        <w:jc w:val="both"/>
      </w:pPr>
      <w:r>
        <w:rPr>
          <w:noProof/>
        </w:rPr>
        <w:lastRenderedPageBreak/>
        <w:drawing>
          <wp:inline distT="0" distB="0" distL="0" distR="0" wp14:anchorId="3186F020" wp14:editId="4B946080">
            <wp:extent cx="6645910" cy="3699510"/>
            <wp:effectExtent l="0" t="0" r="2540" b="0"/>
            <wp:docPr id="399257109" name="Obraz 6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57109" name="Obraz 6" descr="Obraz zawierający tekst, zrzut ekranu, Czcionka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EF7D2" w14:textId="251B52DE" w:rsidR="000911B9" w:rsidRDefault="00087149" w:rsidP="00574F98">
      <w:pPr>
        <w:pStyle w:val="NormalnyWeb"/>
        <w:jc w:val="both"/>
        <w:rPr>
          <w:rFonts w:ascii="Poppins" w:hAnsi="Poppins" w:cs="Poppins"/>
          <w:sz w:val="22"/>
          <w:szCs w:val="22"/>
        </w:rPr>
      </w:pPr>
      <w:r>
        <w:rPr>
          <w:rFonts w:ascii="Poppins" w:hAnsi="Poppins" w:cs="Poppins"/>
          <w:sz w:val="22"/>
          <w:szCs w:val="22"/>
        </w:rPr>
        <w:t xml:space="preserve">Wciąż w czterech metropoliach </w:t>
      </w:r>
      <w:r w:rsidR="000911B9">
        <w:rPr>
          <w:rFonts w:ascii="Poppins" w:hAnsi="Poppins" w:cs="Poppins"/>
          <w:sz w:val="22"/>
          <w:szCs w:val="22"/>
        </w:rPr>
        <w:t>–</w:t>
      </w:r>
      <w:r>
        <w:rPr>
          <w:rFonts w:ascii="Poppins" w:hAnsi="Poppins" w:cs="Poppins"/>
          <w:sz w:val="22"/>
          <w:szCs w:val="22"/>
        </w:rPr>
        <w:t xml:space="preserve"> </w:t>
      </w:r>
      <w:r w:rsidR="000911B9">
        <w:rPr>
          <w:rFonts w:ascii="Poppins" w:hAnsi="Poppins" w:cs="Poppins"/>
          <w:sz w:val="22"/>
          <w:szCs w:val="22"/>
        </w:rPr>
        <w:t>w Warszawie, Krakowie, Wrocławiu i Trójmieście – średnia cena metra kwadratowego mieszkań na rynku wtórnym jest wyższa niż na rynku pierwotnym.</w:t>
      </w:r>
      <w:r w:rsidR="000911B9" w:rsidRPr="000911B9">
        <w:rPr>
          <w:rFonts w:ascii="Poppins" w:hAnsi="Poppins" w:cs="Poppins"/>
          <w:sz w:val="22"/>
          <w:szCs w:val="22"/>
          <w:shd w:val="clear" w:color="auto" w:fill="FFFFFF"/>
        </w:rPr>
        <w:t xml:space="preserve"> </w:t>
      </w:r>
      <w:r w:rsidR="000911B9" w:rsidRPr="00CB652C">
        <w:rPr>
          <w:rFonts w:ascii="Poppins" w:hAnsi="Poppins" w:cs="Poppins"/>
          <w:sz w:val="22"/>
          <w:szCs w:val="22"/>
          <w:shd w:val="clear" w:color="auto" w:fill="FFFFFF"/>
        </w:rPr>
        <w:t xml:space="preserve">Największa różnica na korzyść rynku wtórnego jest </w:t>
      </w:r>
      <w:r w:rsidR="000911B9">
        <w:rPr>
          <w:rFonts w:ascii="Poppins" w:hAnsi="Poppins" w:cs="Poppins"/>
          <w:sz w:val="22"/>
          <w:szCs w:val="22"/>
          <w:shd w:val="clear" w:color="auto" w:fill="FFFFFF"/>
        </w:rPr>
        <w:t xml:space="preserve">nadal </w:t>
      </w:r>
      <w:r w:rsidR="000911B9" w:rsidRPr="00CB652C">
        <w:rPr>
          <w:rFonts w:ascii="Poppins" w:hAnsi="Poppins" w:cs="Poppins"/>
          <w:sz w:val="22"/>
          <w:szCs w:val="22"/>
          <w:shd w:val="clear" w:color="auto" w:fill="FFFFFF"/>
        </w:rPr>
        <w:t xml:space="preserve">w miastach </w:t>
      </w:r>
      <w:r w:rsidR="000911B9" w:rsidRPr="00CB652C">
        <w:rPr>
          <w:rFonts w:ascii="Poppins" w:hAnsi="Poppins" w:cs="Poppins"/>
          <w:sz w:val="22"/>
          <w:szCs w:val="22"/>
        </w:rPr>
        <w:t>Górnośląsko-Zagłębiowskiej</w:t>
      </w:r>
      <w:r w:rsidR="000911B9">
        <w:rPr>
          <w:rFonts w:ascii="Poppins" w:hAnsi="Poppins" w:cs="Poppins"/>
          <w:sz w:val="22"/>
          <w:szCs w:val="22"/>
        </w:rPr>
        <w:t xml:space="preserve"> Metropolii</w:t>
      </w:r>
      <w:r w:rsidR="00574F98">
        <w:rPr>
          <w:rFonts w:ascii="Poppins" w:hAnsi="Poppins" w:cs="Poppins"/>
          <w:sz w:val="22"/>
          <w:szCs w:val="22"/>
        </w:rPr>
        <w:t>.</w:t>
      </w:r>
    </w:p>
    <w:p w14:paraId="3A921675" w14:textId="4A4270F0" w:rsidR="000911B9" w:rsidRPr="00087149" w:rsidRDefault="000911B9" w:rsidP="00574F98">
      <w:pPr>
        <w:pStyle w:val="NormalnyWeb"/>
        <w:jc w:val="both"/>
        <w:rPr>
          <w:rFonts w:ascii="Poppins" w:hAnsi="Poppins" w:cs="Poppins"/>
          <w:sz w:val="22"/>
          <w:szCs w:val="22"/>
        </w:rPr>
      </w:pPr>
      <w:r>
        <w:rPr>
          <w:noProof/>
        </w:rPr>
        <w:drawing>
          <wp:inline distT="0" distB="0" distL="0" distR="0" wp14:anchorId="60CAAAE1" wp14:editId="71F389B7">
            <wp:extent cx="6645910" cy="3674110"/>
            <wp:effectExtent l="0" t="0" r="2540" b="2540"/>
            <wp:docPr id="1374623876" name="Obraz 7" descr="Obraz zawierający tekst, zrzut ekranu, Czcionk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623876" name="Obraz 7" descr="Obraz zawierający tekst, zrzut ekranu, Czcionka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11B9" w:rsidRPr="00087149" w:rsidSect="00951A29">
      <w:headerReference w:type="default" r:id="rId15"/>
      <w:pgSz w:w="11906" w:h="16838"/>
      <w:pgMar w:top="720" w:right="720" w:bottom="720" w:left="720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47CB2" w14:textId="77777777" w:rsidR="00951A29" w:rsidRDefault="00951A29" w:rsidP="00E533BD">
      <w:pPr>
        <w:spacing w:after="0" w:line="240" w:lineRule="auto"/>
      </w:pPr>
      <w:r>
        <w:separator/>
      </w:r>
    </w:p>
  </w:endnote>
  <w:endnote w:type="continuationSeparator" w:id="0">
    <w:p w14:paraId="32873098" w14:textId="77777777" w:rsidR="00951A29" w:rsidRDefault="00951A29" w:rsidP="00E53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oppins">
    <w:altName w:val="Calibri"/>
    <w:charset w:val="EE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E4950" w14:textId="77777777" w:rsidR="00951A29" w:rsidRDefault="00951A29" w:rsidP="00E533BD">
      <w:pPr>
        <w:spacing w:after="0" w:line="240" w:lineRule="auto"/>
      </w:pPr>
      <w:r>
        <w:separator/>
      </w:r>
    </w:p>
  </w:footnote>
  <w:footnote w:type="continuationSeparator" w:id="0">
    <w:p w14:paraId="48B615ED" w14:textId="77777777" w:rsidR="00951A29" w:rsidRDefault="00951A29" w:rsidP="00E53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F483D" w14:textId="31C0457E" w:rsidR="00E533BD" w:rsidRDefault="00DA7D8F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049997B" wp14:editId="064C2B69">
          <wp:simplePos x="0" y="0"/>
          <wp:positionH relativeFrom="page">
            <wp:posOffset>28575</wp:posOffset>
          </wp:positionH>
          <wp:positionV relativeFrom="paragraph">
            <wp:posOffset>-624205</wp:posOffset>
          </wp:positionV>
          <wp:extent cx="7496810" cy="1033145"/>
          <wp:effectExtent l="0" t="0" r="0" b="0"/>
          <wp:wrapThrough wrapText="bothSides">
            <wp:wrapPolygon edited="0">
              <wp:start x="1427" y="4779"/>
              <wp:lineTo x="1153" y="6771"/>
              <wp:lineTo x="878" y="9559"/>
              <wp:lineTo x="933" y="15533"/>
              <wp:lineTo x="9331" y="18321"/>
              <wp:lineTo x="19211" y="19117"/>
              <wp:lineTo x="20693" y="19117"/>
              <wp:lineTo x="20693" y="18321"/>
              <wp:lineTo x="18717" y="11948"/>
              <wp:lineTo x="18826" y="8364"/>
              <wp:lineTo x="16302" y="7567"/>
              <wp:lineTo x="1921" y="4779"/>
              <wp:lineTo x="1427" y="4779"/>
            </wp:wrapPolygon>
          </wp:wrapThrough>
          <wp:docPr id="344518657" name="Grafika 344518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a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7" r="7"/>
                  <a:stretch>
                    <a:fillRect/>
                  </a:stretch>
                </pic:blipFill>
                <pic:spPr>
                  <a:xfrm>
                    <a:off x="0" y="0"/>
                    <a:ext cx="7496810" cy="1033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306C">
      <w:ptab w:relativeTo="margin" w:alignment="center" w:leader="none"/>
    </w:r>
    <w:r w:rsidR="00FB7A20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132F6"/>
    <w:multiLevelType w:val="hybridMultilevel"/>
    <w:tmpl w:val="8B5E1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84B6B"/>
    <w:multiLevelType w:val="hybridMultilevel"/>
    <w:tmpl w:val="50A420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247B3"/>
    <w:multiLevelType w:val="hybridMultilevel"/>
    <w:tmpl w:val="B94E57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26AD3"/>
    <w:multiLevelType w:val="hybridMultilevel"/>
    <w:tmpl w:val="E5B6F8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54D1B"/>
    <w:multiLevelType w:val="hybridMultilevel"/>
    <w:tmpl w:val="7B4813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52262"/>
    <w:multiLevelType w:val="hybridMultilevel"/>
    <w:tmpl w:val="A9B64E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250DA"/>
    <w:multiLevelType w:val="hybridMultilevel"/>
    <w:tmpl w:val="F6F6F30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1C628B"/>
    <w:multiLevelType w:val="hybridMultilevel"/>
    <w:tmpl w:val="56B00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959DD"/>
    <w:multiLevelType w:val="hybridMultilevel"/>
    <w:tmpl w:val="78C46C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794B54"/>
    <w:multiLevelType w:val="hybridMultilevel"/>
    <w:tmpl w:val="58BC9F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0355305">
    <w:abstractNumId w:val="4"/>
  </w:num>
  <w:num w:numId="2" w16cid:durableId="555049282">
    <w:abstractNumId w:val="0"/>
  </w:num>
  <w:num w:numId="3" w16cid:durableId="1982610543">
    <w:abstractNumId w:val="2"/>
  </w:num>
  <w:num w:numId="4" w16cid:durableId="1022822128">
    <w:abstractNumId w:val="1"/>
  </w:num>
  <w:num w:numId="5" w16cid:durableId="1641381131">
    <w:abstractNumId w:val="3"/>
  </w:num>
  <w:num w:numId="6" w16cid:durableId="1967351203">
    <w:abstractNumId w:val="5"/>
  </w:num>
  <w:num w:numId="7" w16cid:durableId="1589997633">
    <w:abstractNumId w:val="6"/>
  </w:num>
  <w:num w:numId="8" w16cid:durableId="1244800905">
    <w:abstractNumId w:val="8"/>
  </w:num>
  <w:num w:numId="9" w16cid:durableId="1512571355">
    <w:abstractNumId w:val="9"/>
  </w:num>
  <w:num w:numId="10" w16cid:durableId="14422618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3BD"/>
    <w:rsid w:val="000061D9"/>
    <w:rsid w:val="000064B4"/>
    <w:rsid w:val="00007107"/>
    <w:rsid w:val="00010FEA"/>
    <w:rsid w:val="0001321E"/>
    <w:rsid w:val="00015274"/>
    <w:rsid w:val="00016290"/>
    <w:rsid w:val="000255B0"/>
    <w:rsid w:val="000311F2"/>
    <w:rsid w:val="00044139"/>
    <w:rsid w:val="00057F54"/>
    <w:rsid w:val="00064DEF"/>
    <w:rsid w:val="00070677"/>
    <w:rsid w:val="00075310"/>
    <w:rsid w:val="0007784C"/>
    <w:rsid w:val="00080FF6"/>
    <w:rsid w:val="00087149"/>
    <w:rsid w:val="000911B9"/>
    <w:rsid w:val="000A2552"/>
    <w:rsid w:val="000A6618"/>
    <w:rsid w:val="000C1C14"/>
    <w:rsid w:val="000C2C30"/>
    <w:rsid w:val="000C43DB"/>
    <w:rsid w:val="000D7339"/>
    <w:rsid w:val="000E427E"/>
    <w:rsid w:val="000F0B92"/>
    <w:rsid w:val="000F2327"/>
    <w:rsid w:val="000F2A84"/>
    <w:rsid w:val="000F546E"/>
    <w:rsid w:val="001003CF"/>
    <w:rsid w:val="00106C6C"/>
    <w:rsid w:val="001175D2"/>
    <w:rsid w:val="0012484B"/>
    <w:rsid w:val="001520CE"/>
    <w:rsid w:val="00156998"/>
    <w:rsid w:val="00157E64"/>
    <w:rsid w:val="00160B41"/>
    <w:rsid w:val="0017068C"/>
    <w:rsid w:val="00171955"/>
    <w:rsid w:val="00176DE5"/>
    <w:rsid w:val="001817C9"/>
    <w:rsid w:val="00182A25"/>
    <w:rsid w:val="00182F7C"/>
    <w:rsid w:val="0018306C"/>
    <w:rsid w:val="00193531"/>
    <w:rsid w:val="00194693"/>
    <w:rsid w:val="001D7997"/>
    <w:rsid w:val="001E19C9"/>
    <w:rsid w:val="001E46F6"/>
    <w:rsid w:val="001E5DFD"/>
    <w:rsid w:val="00212682"/>
    <w:rsid w:val="00236BFB"/>
    <w:rsid w:val="00240AAA"/>
    <w:rsid w:val="0025393F"/>
    <w:rsid w:val="002543AF"/>
    <w:rsid w:val="00254DE4"/>
    <w:rsid w:val="0027120F"/>
    <w:rsid w:val="00286BC4"/>
    <w:rsid w:val="00287586"/>
    <w:rsid w:val="00290153"/>
    <w:rsid w:val="00293F01"/>
    <w:rsid w:val="002A5C18"/>
    <w:rsid w:val="002C3A0A"/>
    <w:rsid w:val="002D244C"/>
    <w:rsid w:val="002D7839"/>
    <w:rsid w:val="002E6753"/>
    <w:rsid w:val="003007CB"/>
    <w:rsid w:val="0030376C"/>
    <w:rsid w:val="00303A58"/>
    <w:rsid w:val="00331728"/>
    <w:rsid w:val="003434DA"/>
    <w:rsid w:val="00367682"/>
    <w:rsid w:val="00377A19"/>
    <w:rsid w:val="00396407"/>
    <w:rsid w:val="00397C40"/>
    <w:rsid w:val="003A753E"/>
    <w:rsid w:val="003C74F0"/>
    <w:rsid w:val="003D28BE"/>
    <w:rsid w:val="003F4D95"/>
    <w:rsid w:val="004069F6"/>
    <w:rsid w:val="00414F41"/>
    <w:rsid w:val="00430A77"/>
    <w:rsid w:val="00433EAC"/>
    <w:rsid w:val="00442968"/>
    <w:rsid w:val="00442EBD"/>
    <w:rsid w:val="00445E56"/>
    <w:rsid w:val="0045420A"/>
    <w:rsid w:val="004647DF"/>
    <w:rsid w:val="00473987"/>
    <w:rsid w:val="004A4F55"/>
    <w:rsid w:val="004B13A7"/>
    <w:rsid w:val="004B34BB"/>
    <w:rsid w:val="004C4395"/>
    <w:rsid w:val="004D6F30"/>
    <w:rsid w:val="004F791A"/>
    <w:rsid w:val="00500F45"/>
    <w:rsid w:val="00504683"/>
    <w:rsid w:val="00504701"/>
    <w:rsid w:val="0050728D"/>
    <w:rsid w:val="00507867"/>
    <w:rsid w:val="00507B27"/>
    <w:rsid w:val="0051474C"/>
    <w:rsid w:val="0053121A"/>
    <w:rsid w:val="005329D7"/>
    <w:rsid w:val="00532B40"/>
    <w:rsid w:val="005428ED"/>
    <w:rsid w:val="00546023"/>
    <w:rsid w:val="00565B3F"/>
    <w:rsid w:val="00571D71"/>
    <w:rsid w:val="00574F98"/>
    <w:rsid w:val="005756AC"/>
    <w:rsid w:val="00595106"/>
    <w:rsid w:val="005B6EC7"/>
    <w:rsid w:val="005C2CA9"/>
    <w:rsid w:val="005D03E9"/>
    <w:rsid w:val="005D60E5"/>
    <w:rsid w:val="005D6829"/>
    <w:rsid w:val="005E154B"/>
    <w:rsid w:val="00606425"/>
    <w:rsid w:val="00610A0D"/>
    <w:rsid w:val="006170B5"/>
    <w:rsid w:val="00635282"/>
    <w:rsid w:val="00655E69"/>
    <w:rsid w:val="00656A92"/>
    <w:rsid w:val="0066231E"/>
    <w:rsid w:val="006644B0"/>
    <w:rsid w:val="00693D0A"/>
    <w:rsid w:val="006A6D7E"/>
    <w:rsid w:val="006C07E3"/>
    <w:rsid w:val="006C6EED"/>
    <w:rsid w:val="006C7246"/>
    <w:rsid w:val="006D1A53"/>
    <w:rsid w:val="006E144D"/>
    <w:rsid w:val="006E194D"/>
    <w:rsid w:val="006F0A66"/>
    <w:rsid w:val="006F1831"/>
    <w:rsid w:val="006F28DE"/>
    <w:rsid w:val="006F2CCA"/>
    <w:rsid w:val="007016FC"/>
    <w:rsid w:val="00705C06"/>
    <w:rsid w:val="007140E1"/>
    <w:rsid w:val="00715488"/>
    <w:rsid w:val="00720322"/>
    <w:rsid w:val="00725402"/>
    <w:rsid w:val="00726A64"/>
    <w:rsid w:val="00744A6F"/>
    <w:rsid w:val="007461EC"/>
    <w:rsid w:val="00747B78"/>
    <w:rsid w:val="00774726"/>
    <w:rsid w:val="00782C3E"/>
    <w:rsid w:val="00793B7D"/>
    <w:rsid w:val="007A2161"/>
    <w:rsid w:val="007A2AED"/>
    <w:rsid w:val="007C6EA0"/>
    <w:rsid w:val="007E3768"/>
    <w:rsid w:val="007E46B1"/>
    <w:rsid w:val="007F16BC"/>
    <w:rsid w:val="007F3FFA"/>
    <w:rsid w:val="00801EEA"/>
    <w:rsid w:val="00804614"/>
    <w:rsid w:val="00805026"/>
    <w:rsid w:val="00825AD9"/>
    <w:rsid w:val="00836B91"/>
    <w:rsid w:val="00864469"/>
    <w:rsid w:val="00871168"/>
    <w:rsid w:val="00884A9A"/>
    <w:rsid w:val="00892A7C"/>
    <w:rsid w:val="008A0725"/>
    <w:rsid w:val="008A0FDF"/>
    <w:rsid w:val="008A109B"/>
    <w:rsid w:val="008A1559"/>
    <w:rsid w:val="008A579D"/>
    <w:rsid w:val="008A7207"/>
    <w:rsid w:val="008B5BDC"/>
    <w:rsid w:val="008C004E"/>
    <w:rsid w:val="008C4684"/>
    <w:rsid w:val="008C55BD"/>
    <w:rsid w:val="008D2313"/>
    <w:rsid w:val="008E239F"/>
    <w:rsid w:val="008E3F84"/>
    <w:rsid w:val="008F7B1C"/>
    <w:rsid w:val="009032D8"/>
    <w:rsid w:val="009059DE"/>
    <w:rsid w:val="0091278B"/>
    <w:rsid w:val="009232E8"/>
    <w:rsid w:val="00944E9D"/>
    <w:rsid w:val="00951A29"/>
    <w:rsid w:val="00965523"/>
    <w:rsid w:val="00967D21"/>
    <w:rsid w:val="00970819"/>
    <w:rsid w:val="009809A4"/>
    <w:rsid w:val="00981059"/>
    <w:rsid w:val="00990AA6"/>
    <w:rsid w:val="009A324B"/>
    <w:rsid w:val="009A3D85"/>
    <w:rsid w:val="009A4AA4"/>
    <w:rsid w:val="009A5BD7"/>
    <w:rsid w:val="009C0376"/>
    <w:rsid w:val="009C2310"/>
    <w:rsid w:val="009C234B"/>
    <w:rsid w:val="009D452D"/>
    <w:rsid w:val="009E01D9"/>
    <w:rsid w:val="009E241E"/>
    <w:rsid w:val="009E428A"/>
    <w:rsid w:val="009E7039"/>
    <w:rsid w:val="009F0A07"/>
    <w:rsid w:val="00A0126E"/>
    <w:rsid w:val="00A048B6"/>
    <w:rsid w:val="00A17286"/>
    <w:rsid w:val="00A17D1B"/>
    <w:rsid w:val="00A22BCB"/>
    <w:rsid w:val="00A24093"/>
    <w:rsid w:val="00A43266"/>
    <w:rsid w:val="00A478CB"/>
    <w:rsid w:val="00A51869"/>
    <w:rsid w:val="00A547BE"/>
    <w:rsid w:val="00A64C0A"/>
    <w:rsid w:val="00A67ABA"/>
    <w:rsid w:val="00A81BE6"/>
    <w:rsid w:val="00A90FB0"/>
    <w:rsid w:val="00A924CC"/>
    <w:rsid w:val="00AC69E1"/>
    <w:rsid w:val="00AF5B18"/>
    <w:rsid w:val="00AF6C7F"/>
    <w:rsid w:val="00B030C4"/>
    <w:rsid w:val="00B141B2"/>
    <w:rsid w:val="00B17438"/>
    <w:rsid w:val="00B17444"/>
    <w:rsid w:val="00B238FA"/>
    <w:rsid w:val="00B24C21"/>
    <w:rsid w:val="00B33F85"/>
    <w:rsid w:val="00B357EC"/>
    <w:rsid w:val="00B420E5"/>
    <w:rsid w:val="00B42848"/>
    <w:rsid w:val="00B430F1"/>
    <w:rsid w:val="00B52215"/>
    <w:rsid w:val="00B5353F"/>
    <w:rsid w:val="00B56DBE"/>
    <w:rsid w:val="00B6280B"/>
    <w:rsid w:val="00B6641D"/>
    <w:rsid w:val="00B675F4"/>
    <w:rsid w:val="00B6779C"/>
    <w:rsid w:val="00B72003"/>
    <w:rsid w:val="00B90C5F"/>
    <w:rsid w:val="00BA0C8F"/>
    <w:rsid w:val="00BA48E5"/>
    <w:rsid w:val="00BA4AE2"/>
    <w:rsid w:val="00BA5DA4"/>
    <w:rsid w:val="00BC0CC0"/>
    <w:rsid w:val="00BC64E8"/>
    <w:rsid w:val="00BE27DB"/>
    <w:rsid w:val="00BE548A"/>
    <w:rsid w:val="00BF21C7"/>
    <w:rsid w:val="00BF285E"/>
    <w:rsid w:val="00BF2F46"/>
    <w:rsid w:val="00BF430F"/>
    <w:rsid w:val="00C05921"/>
    <w:rsid w:val="00C12248"/>
    <w:rsid w:val="00C35B7E"/>
    <w:rsid w:val="00C50A12"/>
    <w:rsid w:val="00C73133"/>
    <w:rsid w:val="00C940D0"/>
    <w:rsid w:val="00CA2956"/>
    <w:rsid w:val="00CA33AD"/>
    <w:rsid w:val="00CA47CA"/>
    <w:rsid w:val="00CB1B68"/>
    <w:rsid w:val="00CB7C00"/>
    <w:rsid w:val="00CC5797"/>
    <w:rsid w:val="00CD15B5"/>
    <w:rsid w:val="00CF036B"/>
    <w:rsid w:val="00D059DB"/>
    <w:rsid w:val="00D061AE"/>
    <w:rsid w:val="00D1044B"/>
    <w:rsid w:val="00D27B6F"/>
    <w:rsid w:val="00D3042F"/>
    <w:rsid w:val="00D320B2"/>
    <w:rsid w:val="00D404CA"/>
    <w:rsid w:val="00D455CB"/>
    <w:rsid w:val="00D56734"/>
    <w:rsid w:val="00D56A8C"/>
    <w:rsid w:val="00D61549"/>
    <w:rsid w:val="00D72B55"/>
    <w:rsid w:val="00D75392"/>
    <w:rsid w:val="00DA0E39"/>
    <w:rsid w:val="00DA494D"/>
    <w:rsid w:val="00DA72F4"/>
    <w:rsid w:val="00DA75D1"/>
    <w:rsid w:val="00DA7D8F"/>
    <w:rsid w:val="00DB175C"/>
    <w:rsid w:val="00DB22D0"/>
    <w:rsid w:val="00DB5710"/>
    <w:rsid w:val="00DB60A0"/>
    <w:rsid w:val="00DB6718"/>
    <w:rsid w:val="00DC1870"/>
    <w:rsid w:val="00DC4491"/>
    <w:rsid w:val="00DD6A44"/>
    <w:rsid w:val="00DE56B9"/>
    <w:rsid w:val="00E252B1"/>
    <w:rsid w:val="00E25AAC"/>
    <w:rsid w:val="00E3093D"/>
    <w:rsid w:val="00E32A58"/>
    <w:rsid w:val="00E32F03"/>
    <w:rsid w:val="00E3719E"/>
    <w:rsid w:val="00E440F2"/>
    <w:rsid w:val="00E533BD"/>
    <w:rsid w:val="00E55E92"/>
    <w:rsid w:val="00E72209"/>
    <w:rsid w:val="00E73303"/>
    <w:rsid w:val="00E80F52"/>
    <w:rsid w:val="00E84E26"/>
    <w:rsid w:val="00E936D4"/>
    <w:rsid w:val="00EA18AB"/>
    <w:rsid w:val="00EA269B"/>
    <w:rsid w:val="00EA316E"/>
    <w:rsid w:val="00EA3946"/>
    <w:rsid w:val="00EA5612"/>
    <w:rsid w:val="00EA6B8B"/>
    <w:rsid w:val="00EC10B9"/>
    <w:rsid w:val="00ED61B2"/>
    <w:rsid w:val="00ED6992"/>
    <w:rsid w:val="00ED6CE9"/>
    <w:rsid w:val="00F009B8"/>
    <w:rsid w:val="00F06678"/>
    <w:rsid w:val="00F07241"/>
    <w:rsid w:val="00F17553"/>
    <w:rsid w:val="00F21411"/>
    <w:rsid w:val="00F2311C"/>
    <w:rsid w:val="00F27BE9"/>
    <w:rsid w:val="00F27DDC"/>
    <w:rsid w:val="00F32849"/>
    <w:rsid w:val="00F342C3"/>
    <w:rsid w:val="00F34D0B"/>
    <w:rsid w:val="00F52BC1"/>
    <w:rsid w:val="00F548A5"/>
    <w:rsid w:val="00F60C6C"/>
    <w:rsid w:val="00F6547E"/>
    <w:rsid w:val="00F72030"/>
    <w:rsid w:val="00F9538E"/>
    <w:rsid w:val="00F95822"/>
    <w:rsid w:val="00FA42CC"/>
    <w:rsid w:val="00FB1774"/>
    <w:rsid w:val="00FB40F8"/>
    <w:rsid w:val="00FB7A20"/>
    <w:rsid w:val="00FC6E67"/>
    <w:rsid w:val="00FD5C22"/>
    <w:rsid w:val="00FE4A9A"/>
    <w:rsid w:val="00FF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EF5DA"/>
  <w15:chartTrackingRefBased/>
  <w15:docId w15:val="{F36E7F9C-64BC-455F-93AF-CCB032D68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647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3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33BD"/>
  </w:style>
  <w:style w:type="paragraph" w:styleId="Stopka">
    <w:name w:val="footer"/>
    <w:basedOn w:val="Normalny"/>
    <w:link w:val="StopkaZnak"/>
    <w:uiPriority w:val="99"/>
    <w:unhideWhenUsed/>
    <w:rsid w:val="00E53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33BD"/>
  </w:style>
  <w:style w:type="paragraph" w:styleId="NormalnyWeb">
    <w:name w:val="Normal (Web)"/>
    <w:basedOn w:val="Normalny"/>
    <w:uiPriority w:val="99"/>
    <w:unhideWhenUsed/>
    <w:rsid w:val="00271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7120F"/>
    <w:rPr>
      <w:color w:val="0000FF"/>
      <w:u w:val="single"/>
    </w:rPr>
  </w:style>
  <w:style w:type="character" w:customStyle="1" w:styleId="hgkelc">
    <w:name w:val="hgkelc"/>
    <w:basedOn w:val="Domylnaczcionkaakapitu"/>
    <w:rsid w:val="00E3719E"/>
  </w:style>
  <w:style w:type="character" w:styleId="Pogrubienie">
    <w:name w:val="Strong"/>
    <w:basedOn w:val="Domylnaczcionkaakapitu"/>
    <w:uiPriority w:val="22"/>
    <w:qFormat/>
    <w:rsid w:val="004C4395"/>
    <w:rPr>
      <w:b/>
      <w:bCs/>
    </w:rPr>
  </w:style>
  <w:style w:type="paragraph" w:styleId="Bezodstpw">
    <w:name w:val="No Spacing"/>
    <w:uiPriority w:val="1"/>
    <w:qFormat/>
    <w:rsid w:val="00F27BE9"/>
    <w:pPr>
      <w:spacing w:after="0" w:line="240" w:lineRule="auto"/>
    </w:pPr>
  </w:style>
  <w:style w:type="paragraph" w:customStyle="1" w:styleId="Textbody">
    <w:name w:val="Text body"/>
    <w:basedOn w:val="Normalny"/>
    <w:rsid w:val="00571D71"/>
    <w:pPr>
      <w:widowControl w:val="0"/>
      <w:suppressAutoHyphens/>
      <w:autoSpaceDN w:val="0"/>
      <w:spacing w:after="12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D75392"/>
    <w:pPr>
      <w:spacing w:after="0" w:line="240" w:lineRule="auto"/>
      <w:ind w:left="720"/>
      <w:contextualSpacing/>
    </w:pPr>
    <w:rPr>
      <w:rFonts w:ascii="Calibri" w:hAnsi="Calibri" w:cs="Calibri"/>
      <w:lang w:eastAsia="pl-PL"/>
    </w:rPr>
  </w:style>
  <w:style w:type="character" w:styleId="Uwydatnienie">
    <w:name w:val="Emphasis"/>
    <w:basedOn w:val="Domylnaczcionkaakapitu"/>
    <w:uiPriority w:val="20"/>
    <w:qFormat/>
    <w:rsid w:val="000E427E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4647D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custom-1oer2oc">
    <w:name w:val="custom-1oer2oc"/>
    <w:basedOn w:val="Normalny"/>
    <w:rsid w:val="00464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47B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47B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47B7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F0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3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gdata.rynekpierwotny.pl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5A948-74EE-46C4-AA71-52FAB671F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2721</TotalTime>
  <Pages>5</Pages>
  <Words>667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Kazimierczak</dc:creator>
  <cp:keywords/>
  <dc:description/>
  <cp:lastModifiedBy>Mikołaj Ostrowski</cp:lastModifiedBy>
  <cp:revision>72</cp:revision>
  <cp:lastPrinted>2023-07-05T08:38:00Z</cp:lastPrinted>
  <dcterms:created xsi:type="dcterms:W3CDTF">2023-08-01T11:21:00Z</dcterms:created>
  <dcterms:modified xsi:type="dcterms:W3CDTF">2024-02-02T06:57:00Z</dcterms:modified>
</cp:coreProperties>
</file>